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49D4" w14:textId="77777777" w:rsidR="008F76F5" w:rsidRPr="00422EB9" w:rsidRDefault="00A129E0" w:rsidP="008F76F5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 xml:space="preserve">CORSO </w:t>
      </w:r>
      <w:r w:rsidR="007B341E" w:rsidRPr="00422EB9">
        <w:rPr>
          <w:rFonts w:ascii="Book Antiqua" w:hAnsi="Book Antiqua"/>
          <w:b/>
          <w:bCs/>
          <w:color w:val="000000" w:themeColor="text1"/>
        </w:rPr>
        <w:t xml:space="preserve">DI AGGIORNAMENTO </w:t>
      </w:r>
      <w:r w:rsidR="008F76F5" w:rsidRPr="00422EB9">
        <w:rPr>
          <w:rFonts w:ascii="Book Antiqua" w:hAnsi="Book Antiqua"/>
          <w:b/>
          <w:bCs/>
          <w:color w:val="000000" w:themeColor="text1"/>
        </w:rPr>
        <w:t xml:space="preserve">PER LA PERMANENZA </w:t>
      </w:r>
    </w:p>
    <w:p w14:paraId="2F576426" w14:textId="3E2C3F6E" w:rsidR="00A65535" w:rsidRPr="00422EB9" w:rsidRDefault="008F76F5" w:rsidP="008F76F5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>NELL’ELENCO DEI PROFESSIONISTI DELEGATI</w:t>
      </w:r>
      <w:r w:rsidR="00A129E0" w:rsidRPr="00422EB9">
        <w:rPr>
          <w:rFonts w:ascii="Book Antiqua" w:hAnsi="Book Antiqua"/>
          <w:b/>
          <w:bCs/>
          <w:color w:val="000000" w:themeColor="text1"/>
        </w:rPr>
        <w:t xml:space="preserve"> ALLE </w:t>
      </w:r>
      <w:r w:rsidRPr="00422EB9">
        <w:rPr>
          <w:rFonts w:ascii="Book Antiqua" w:hAnsi="Book Antiqua"/>
          <w:b/>
          <w:bCs/>
          <w:color w:val="000000" w:themeColor="text1"/>
        </w:rPr>
        <w:t>OPERAZIONI DI VENDITA</w:t>
      </w:r>
      <w:r w:rsidR="00A129E0" w:rsidRPr="00422EB9">
        <w:rPr>
          <w:rFonts w:ascii="Book Antiqua" w:hAnsi="Book Antiqua"/>
          <w:b/>
          <w:bCs/>
          <w:color w:val="000000" w:themeColor="text1"/>
        </w:rPr>
        <w:t xml:space="preserve"> E CUSTODE GIUDIZIARIO</w:t>
      </w:r>
    </w:p>
    <w:p w14:paraId="258977BB" w14:textId="690B648E" w:rsidR="007B341E" w:rsidRPr="00422EB9" w:rsidRDefault="008F76F5" w:rsidP="007F5A3A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 xml:space="preserve">EDIZIONE </w:t>
      </w:r>
      <w:r w:rsidR="004C0BF8" w:rsidRPr="00422EB9">
        <w:rPr>
          <w:rFonts w:ascii="Book Antiqua" w:hAnsi="Book Antiqua"/>
          <w:b/>
          <w:bCs/>
          <w:color w:val="000000" w:themeColor="text1"/>
        </w:rPr>
        <w:t>ANNO 2026</w:t>
      </w:r>
    </w:p>
    <w:p w14:paraId="1EF1ED04" w14:textId="57E5A5CC" w:rsidR="00A129E0" w:rsidRPr="00422EB9" w:rsidRDefault="00A129E0" w:rsidP="0002756D">
      <w:pPr>
        <w:jc w:val="both"/>
        <w:rPr>
          <w:rFonts w:ascii="Book Antiqua" w:hAnsi="Book Antiqua"/>
          <w:i/>
          <w:iCs/>
          <w:color w:val="000000" w:themeColor="text1"/>
        </w:rPr>
      </w:pPr>
      <w:r w:rsidRPr="00422EB9">
        <w:rPr>
          <w:rFonts w:ascii="Book Antiqua" w:hAnsi="Book Antiqua"/>
          <w:i/>
          <w:iCs/>
          <w:color w:val="000000" w:themeColor="text1"/>
        </w:rPr>
        <w:t>Corso conforme alle linee guida generali della Scuola Superiore della Magistratura per la definizione dei programmi dei corsi di formazione e di aggiornamento di cui all’art. 179-ter disp.</w:t>
      </w:r>
      <w:r w:rsidR="003449B0" w:rsidRPr="00422EB9">
        <w:rPr>
          <w:rFonts w:ascii="Book Antiqua" w:hAnsi="Book Antiqua"/>
          <w:i/>
          <w:iCs/>
          <w:color w:val="000000" w:themeColor="text1"/>
        </w:rPr>
        <w:t xml:space="preserve"> </w:t>
      </w:r>
      <w:r w:rsidRPr="00422EB9">
        <w:rPr>
          <w:rFonts w:ascii="Book Antiqua" w:hAnsi="Book Antiqua"/>
          <w:i/>
          <w:iCs/>
          <w:color w:val="000000" w:themeColor="text1"/>
        </w:rPr>
        <w:t>att. c.p.c., organizzato dal Consiglio dell’Ordine degli Avvocati di Lecce</w:t>
      </w:r>
      <w:r w:rsidR="00B31BE8" w:rsidRPr="00422EB9">
        <w:rPr>
          <w:rFonts w:ascii="Book Antiqua" w:hAnsi="Book Antiqua"/>
          <w:i/>
          <w:iCs/>
          <w:color w:val="000000" w:themeColor="text1"/>
        </w:rPr>
        <w:t xml:space="preserve"> (valido per il rilascio dell’attest</w:t>
      </w:r>
      <w:r w:rsidR="00DA42F7" w:rsidRPr="00422EB9">
        <w:rPr>
          <w:rFonts w:ascii="Book Antiqua" w:hAnsi="Book Antiqua"/>
          <w:i/>
          <w:iCs/>
          <w:color w:val="000000" w:themeColor="text1"/>
        </w:rPr>
        <w:t>ato ai fini dell’aggiornamento)</w:t>
      </w:r>
      <w:r w:rsidRPr="00422EB9">
        <w:rPr>
          <w:rFonts w:ascii="Book Antiqua" w:hAnsi="Book Antiqua"/>
          <w:i/>
          <w:iCs/>
          <w:color w:val="000000" w:themeColor="text1"/>
        </w:rPr>
        <w:t>.</w:t>
      </w:r>
      <w:r w:rsidR="00DA42F7" w:rsidRPr="00422EB9">
        <w:rPr>
          <w:rFonts w:ascii="Book Antiqua" w:hAnsi="Book Antiqua"/>
          <w:i/>
          <w:iCs/>
          <w:color w:val="000000" w:themeColor="text1"/>
        </w:rPr>
        <w:t xml:space="preserve"> Corso dedicato alla memoria del compianto Avv. Cosimo Ruppi, eccellente collaboratore delle precedenti edizioni del corso.</w:t>
      </w:r>
    </w:p>
    <w:p w14:paraId="6B36EB04" w14:textId="783DA00B" w:rsidR="00A129E0" w:rsidRPr="00422EB9" w:rsidRDefault="00A129E0" w:rsidP="003C4B73">
      <w:pPr>
        <w:jc w:val="center"/>
        <w:rPr>
          <w:rFonts w:ascii="Book Antiqua" w:hAnsi="Book Antiqua"/>
          <w:b/>
          <w:bCs/>
          <w:i/>
          <w:iCs/>
          <w:color w:val="000000" w:themeColor="text1"/>
        </w:rPr>
      </w:pPr>
      <w:r w:rsidRPr="00422EB9">
        <w:rPr>
          <w:rFonts w:ascii="Book Antiqua" w:hAnsi="Book Antiqua"/>
          <w:b/>
          <w:bCs/>
          <w:i/>
          <w:iCs/>
          <w:color w:val="000000" w:themeColor="text1"/>
        </w:rPr>
        <w:t>PROGRAMMA</w:t>
      </w:r>
    </w:p>
    <w:p w14:paraId="56BAF503" w14:textId="77777777" w:rsidR="00B31BE8" w:rsidRPr="00422EB9" w:rsidRDefault="007F5A3A">
      <w:pPr>
        <w:rPr>
          <w:rFonts w:ascii="Book Antiqua" w:hAnsi="Book Antiqua"/>
          <w:b/>
          <w:bCs/>
          <w:color w:val="000000" w:themeColor="text1"/>
        </w:rPr>
      </w:pPr>
      <w:bookmarkStart w:id="0" w:name="_Hlk134356603"/>
      <w:r w:rsidRPr="00422EB9">
        <w:rPr>
          <w:rFonts w:ascii="Book Antiqua" w:hAnsi="Book Antiqua"/>
          <w:b/>
          <w:bCs/>
          <w:color w:val="000000" w:themeColor="text1"/>
        </w:rPr>
        <w:t xml:space="preserve">I INCONTRO: </w:t>
      </w:r>
    </w:p>
    <w:p w14:paraId="58257D7C" w14:textId="5DC35144" w:rsidR="00EE11CA" w:rsidRPr="00422EB9" w:rsidRDefault="00EE11CA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>Presentazione del corso e saluti del Presidente della Commissione esecuzioni e crisi d’impresa Avv. Giuseppe Dell’Anna Misurale</w:t>
      </w:r>
    </w:p>
    <w:p w14:paraId="2B5BA839" w14:textId="77777777" w:rsidR="00161516" w:rsidRPr="00422EB9" w:rsidRDefault="00161516" w:rsidP="00161516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</w:rPr>
        <w:t>29.05.2026 ore 15:00-19:00, Aula “Primo Tondo” - Palazzo De Pietro</w:t>
      </w:r>
      <w:r w:rsidRPr="00422EB9">
        <w:rPr>
          <w:rFonts w:ascii="Book Antiqua" w:hAnsi="Book Antiqua"/>
          <w:b/>
          <w:bCs/>
          <w:color w:val="000000" w:themeColor="text1"/>
        </w:rPr>
        <w:t xml:space="preserve">, Avv. Antonio Cerfeda e Avv. Annalisa Martella </w:t>
      </w:r>
    </w:p>
    <w:p w14:paraId="76515AC9" w14:textId="77777777" w:rsidR="00161516" w:rsidRPr="00422EB9" w:rsidRDefault="00161516" w:rsidP="00161516">
      <w:p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VENDITA</w:t>
      </w:r>
    </w:p>
    <w:p w14:paraId="2A14C72F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L’udienza di comparizione delle parti ex art. 569 c.p.c.</w:t>
      </w:r>
    </w:p>
    <w:p w14:paraId="7A2A1AC8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delega alle operazioni di vendita: premesse di carattere generale</w:t>
      </w:r>
    </w:p>
    <w:p w14:paraId="3C525A26" w14:textId="77777777" w:rsidR="00161516" w:rsidRPr="00422EB9" w:rsidRDefault="00161516" w:rsidP="00161516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Categorie di professionisti delegabili</w:t>
      </w:r>
    </w:p>
    <w:p w14:paraId="3E59486F" w14:textId="77777777" w:rsidR="00161516" w:rsidRPr="00422EB9" w:rsidRDefault="00161516" w:rsidP="00161516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 l’ampliamento dei compiti demandati ai professionisti delegati, da ultimo con la riforma di cui al D.lgs. n.149 del 2022</w:t>
      </w:r>
    </w:p>
    <w:p w14:paraId="023CA1FF" w14:textId="77777777" w:rsidR="00161516" w:rsidRPr="00422EB9" w:rsidRDefault="00161516" w:rsidP="00161516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Responsabilità civile, penale e deontologica del PD</w:t>
      </w:r>
    </w:p>
    <w:p w14:paraId="6B1F54AE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fasi preparatorie della vendita</w:t>
      </w:r>
    </w:p>
    <w:p w14:paraId="2C007506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L’intervento degli altri creditori e la procedura di riconoscimento del credito immobiliare</w:t>
      </w:r>
    </w:p>
    <w:p w14:paraId="2896419F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L’udienza di autorizzazione alle operazioni di vendita</w:t>
      </w:r>
    </w:p>
    <w:p w14:paraId="27602D75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L’avviso di vendita: pubblicità, notifiche e fondo spese</w:t>
      </w:r>
    </w:p>
    <w:p w14:paraId="2FBC99ED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vendita diretta introdotta dalla legge delega 26.11.2021 n.206 e recepita negli artt. 568 bis e 569 bis c.p.c.</w:t>
      </w:r>
    </w:p>
    <w:p w14:paraId="7169EA51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vendita telematica (asincrona, sincrona, mista)</w:t>
      </w:r>
    </w:p>
    <w:p w14:paraId="074F21BC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L’offerta telematica ed i suoi contenuti</w:t>
      </w:r>
    </w:p>
    <w:p w14:paraId="01CDE9F7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Situazioni peculiari: le offerte congiunte e le offerte dei soggetti stranieri</w:t>
      </w:r>
    </w:p>
    <w:p w14:paraId="539552D7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procedimento di vendita e i criteri di aggiudicazione</w:t>
      </w:r>
    </w:p>
    <w:p w14:paraId="2297DF19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Dialogo tra delegato e giudice dell’esecuzione: l’art.591 ter c.p.c.</w:t>
      </w:r>
    </w:p>
    <w:p w14:paraId="37567628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L’aggiudicazione del bene e l’art.187 bis disp. att. c.p.c.; la decadenza dell’aggiudicatario e le conseguenze degli esiti negativi dei tentativi di vendita</w:t>
      </w:r>
    </w:p>
    <w:p w14:paraId="0AFFBF97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Il versamento del saldo prezzo: modalità e termine </w:t>
      </w:r>
    </w:p>
    <w:p w14:paraId="1065BC48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L’estinzione della procedura prima dell’aggiudicazione definitiva</w:t>
      </w:r>
    </w:p>
    <w:p w14:paraId="29F4C104" w14:textId="77777777" w:rsidR="00161516" w:rsidRPr="00422EB9" w:rsidRDefault="00161516" w:rsidP="00161516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rateizzazione del pagamento del prezzo</w:t>
      </w:r>
    </w:p>
    <w:p w14:paraId="2D9D8C66" w14:textId="77777777" w:rsidR="00161516" w:rsidRPr="00422EB9" w:rsidRDefault="00161516" w:rsidP="00161516">
      <w:pPr>
        <w:pStyle w:val="Paragrafoelenco"/>
        <w:rPr>
          <w:rFonts w:ascii="Book Antiqua" w:hAnsi="Book Antiqua"/>
          <w:color w:val="000000" w:themeColor="text1"/>
        </w:rPr>
      </w:pPr>
    </w:p>
    <w:p w14:paraId="101FE5A5" w14:textId="77777777" w:rsidR="00161516" w:rsidRPr="00422EB9" w:rsidRDefault="00161516" w:rsidP="00161516">
      <w:pPr>
        <w:pStyle w:val="Paragrafoelenco"/>
        <w:numPr>
          <w:ilvl w:val="0"/>
          <w:numId w:val="20"/>
        </w:numPr>
        <w:rPr>
          <w:rFonts w:ascii="Book Antiqua" w:hAnsi="Book Antiqua"/>
          <w:i/>
          <w:color w:val="000000" w:themeColor="text1"/>
        </w:rPr>
      </w:pPr>
      <w:r w:rsidRPr="00422EB9">
        <w:rPr>
          <w:rFonts w:ascii="Book Antiqua" w:hAnsi="Book Antiqua"/>
          <w:i/>
          <w:color w:val="000000" w:themeColor="text1"/>
        </w:rPr>
        <w:t>Laboratorio sulla redazione e pubblicazione dell’avviso di vendita</w:t>
      </w:r>
    </w:p>
    <w:p w14:paraId="51765E5B" w14:textId="77777777" w:rsidR="00161516" w:rsidRPr="00422EB9" w:rsidRDefault="00161516">
      <w:pPr>
        <w:rPr>
          <w:rFonts w:ascii="Book Antiqua" w:hAnsi="Book Antiqua"/>
          <w:b/>
          <w:bCs/>
          <w:color w:val="000000" w:themeColor="text1"/>
        </w:rPr>
      </w:pPr>
    </w:p>
    <w:p w14:paraId="126A781B" w14:textId="77777777" w:rsidR="00161516" w:rsidRPr="00422EB9" w:rsidRDefault="00161516">
      <w:pPr>
        <w:rPr>
          <w:rFonts w:ascii="Book Antiqua" w:hAnsi="Book Antiqua"/>
          <w:b/>
          <w:bCs/>
          <w:color w:val="000000" w:themeColor="text1"/>
        </w:rPr>
      </w:pPr>
    </w:p>
    <w:p w14:paraId="3766074E" w14:textId="77777777" w:rsidR="00161516" w:rsidRPr="00422EB9" w:rsidRDefault="00161516" w:rsidP="00161516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lastRenderedPageBreak/>
        <w:t xml:space="preserve">II INCONTRO: </w:t>
      </w:r>
    </w:p>
    <w:p w14:paraId="6F31B09E" w14:textId="6142A2A8" w:rsidR="00A129E0" w:rsidRPr="00422EB9" w:rsidRDefault="00161516">
      <w:pPr>
        <w:rPr>
          <w:rFonts w:ascii="Book Antiqua" w:hAnsi="Book Antiqua"/>
          <w:b/>
          <w:bCs/>
          <w:color w:val="000000" w:themeColor="text1"/>
        </w:rPr>
      </w:pPr>
      <w:bookmarkStart w:id="1" w:name="_Hlk134270623"/>
      <w:r w:rsidRPr="00422EB9">
        <w:rPr>
          <w:rFonts w:ascii="Book Antiqua" w:hAnsi="Book Antiqua"/>
          <w:b/>
          <w:bCs/>
        </w:rPr>
        <w:t xml:space="preserve">04.06.2026 </w:t>
      </w:r>
      <w:r w:rsidR="003639FF" w:rsidRPr="00422EB9">
        <w:rPr>
          <w:rFonts w:ascii="Book Antiqua" w:hAnsi="Book Antiqua"/>
          <w:b/>
          <w:bCs/>
        </w:rPr>
        <w:t>ore 15</w:t>
      </w:r>
      <w:r w:rsidRPr="00422EB9">
        <w:rPr>
          <w:rFonts w:ascii="Book Antiqua" w:hAnsi="Book Antiqua"/>
          <w:b/>
          <w:bCs/>
        </w:rPr>
        <w:t>:00-19:00, Aula “Primo Tondo” - Palazzo De Pietro</w:t>
      </w:r>
      <w:r w:rsidR="003A7B0E" w:rsidRPr="00422EB9">
        <w:rPr>
          <w:rFonts w:ascii="Book Antiqua" w:hAnsi="Book Antiqua"/>
          <w:b/>
          <w:bCs/>
          <w:color w:val="000000" w:themeColor="text1"/>
        </w:rPr>
        <w:t>,</w:t>
      </w:r>
      <w:bookmarkEnd w:id="0"/>
      <w:r w:rsidR="003A7B0E" w:rsidRPr="00422EB9">
        <w:rPr>
          <w:rFonts w:ascii="Book Antiqua" w:hAnsi="Book Antiqua"/>
          <w:b/>
          <w:bCs/>
          <w:color w:val="000000" w:themeColor="text1"/>
        </w:rPr>
        <w:t xml:space="preserve"> Prof. </w:t>
      </w:r>
      <w:bookmarkEnd w:id="1"/>
      <w:r w:rsidR="007E0CDF" w:rsidRPr="00422EB9">
        <w:rPr>
          <w:rFonts w:ascii="Book Antiqua" w:hAnsi="Book Antiqua"/>
          <w:b/>
          <w:bCs/>
          <w:color w:val="000000" w:themeColor="text1"/>
        </w:rPr>
        <w:t>Avv.</w:t>
      </w:r>
      <w:r w:rsidR="0006523A" w:rsidRPr="00422EB9">
        <w:rPr>
          <w:rFonts w:ascii="Book Antiqua" w:hAnsi="Book Antiqua"/>
          <w:b/>
          <w:bCs/>
          <w:color w:val="000000" w:themeColor="text1"/>
        </w:rPr>
        <w:t xml:space="preserve"> </w:t>
      </w:r>
      <w:r w:rsidR="003A7B0E" w:rsidRPr="00422EB9">
        <w:rPr>
          <w:rFonts w:ascii="Book Antiqua" w:hAnsi="Book Antiqua"/>
          <w:b/>
          <w:bCs/>
          <w:color w:val="000000" w:themeColor="text1"/>
        </w:rPr>
        <w:t>Francesco Porcari</w:t>
      </w:r>
      <w:r w:rsidR="00EC3EC2" w:rsidRPr="00422EB9">
        <w:rPr>
          <w:rFonts w:ascii="Book Antiqua" w:hAnsi="Book Antiqua"/>
          <w:b/>
          <w:bCs/>
          <w:color w:val="000000" w:themeColor="text1"/>
        </w:rPr>
        <w:t xml:space="preserve"> e Prof.ssa </w:t>
      </w:r>
      <w:r w:rsidR="004C0BF8" w:rsidRPr="00422EB9">
        <w:rPr>
          <w:rFonts w:ascii="Book Antiqua" w:hAnsi="Book Antiqua"/>
          <w:b/>
          <w:bCs/>
          <w:color w:val="000000" w:themeColor="text1"/>
        </w:rPr>
        <w:t xml:space="preserve">Avv. </w:t>
      </w:r>
      <w:r w:rsidR="008F76F5" w:rsidRPr="00422EB9">
        <w:rPr>
          <w:rFonts w:ascii="Book Antiqua" w:hAnsi="Book Antiqua"/>
          <w:b/>
          <w:bCs/>
          <w:color w:val="000000" w:themeColor="text1"/>
        </w:rPr>
        <w:t>Carmen Perago</w:t>
      </w:r>
      <w:r w:rsidR="00881B0E" w:rsidRPr="00422EB9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1025EEEE" w14:textId="4A005ED8" w:rsidR="007F5A3A" w:rsidRPr="00422EB9" w:rsidRDefault="007F5A3A">
      <w:p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PRINCIPI GENERALI</w:t>
      </w:r>
      <w:r w:rsidR="008F76F5" w:rsidRPr="00422EB9">
        <w:rPr>
          <w:rFonts w:ascii="Book Antiqua" w:hAnsi="Book Antiqua"/>
          <w:color w:val="000000" w:themeColor="text1"/>
        </w:rPr>
        <w:t xml:space="preserve"> E CARATTERISTICHE SPECIFICHE DELL’ESPROPRIAZIONE IMMOBILIARE</w:t>
      </w:r>
    </w:p>
    <w:p w14:paraId="39404C41" w14:textId="39CE35BB" w:rsidR="007F5A3A" w:rsidRPr="00422EB9" w:rsidRDefault="007F5A3A" w:rsidP="007F5A3A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Presupposti per l’esecuzione: titolo esecutivo e precetto</w:t>
      </w:r>
    </w:p>
    <w:p w14:paraId="36F0110A" w14:textId="6F6241D1" w:rsidR="007F5A3A" w:rsidRPr="00422EB9" w:rsidRDefault="007F5A3A" w:rsidP="007F5A3A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Titolo esecutivo giudiziale e stragiudiziale; i requisiti di certezza, esigibilità e liquidità</w:t>
      </w:r>
    </w:p>
    <w:p w14:paraId="5FD1F4CE" w14:textId="19E87569" w:rsidR="007F5A3A" w:rsidRPr="00422EB9" w:rsidRDefault="007F5A3A" w:rsidP="007F5A3A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sospensione e la caducazione del titolo esecutivo: vicende “esterne” ed “interne”</w:t>
      </w:r>
    </w:p>
    <w:p w14:paraId="1BB14165" w14:textId="47CC520B" w:rsidR="004C0BF8" w:rsidRPr="00422EB9" w:rsidRDefault="004C0BF8" w:rsidP="007F5A3A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cessione e la cartolarizzazione del credito;</w:t>
      </w:r>
    </w:p>
    <w:p w14:paraId="05ED0F32" w14:textId="396D4296" w:rsidR="007F5A3A" w:rsidRPr="00422EB9" w:rsidRDefault="007F5A3A" w:rsidP="007F5A3A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L’individuazione dei soggetti legittimati</w:t>
      </w:r>
      <w:r w:rsidR="00A14295" w:rsidRPr="00422EB9">
        <w:rPr>
          <w:rFonts w:ascii="Book Antiqua" w:hAnsi="Book Antiqua"/>
          <w:color w:val="000000" w:themeColor="text1"/>
        </w:rPr>
        <w:t xml:space="preserve">, nella procedura esecutiva, in base al contenuto del titolo e alle regole in tema di successione </w:t>
      </w:r>
      <w:r w:rsidR="00332E39" w:rsidRPr="00422EB9">
        <w:rPr>
          <w:rFonts w:ascii="Book Antiqua" w:hAnsi="Book Antiqua"/>
          <w:color w:val="000000" w:themeColor="text1"/>
        </w:rPr>
        <w:t>soggettiva nello stesso dettate dall’art.477 c.p.c.</w:t>
      </w:r>
    </w:p>
    <w:p w14:paraId="33D86475" w14:textId="77777777" w:rsidR="00361FC6" w:rsidRPr="00422EB9" w:rsidRDefault="00332E39" w:rsidP="00361FC6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Gli atti prodromici alla procedura esecutiva</w:t>
      </w:r>
    </w:p>
    <w:p w14:paraId="54B9CD5D" w14:textId="35988660" w:rsidR="00361FC6" w:rsidRPr="00422EB9" w:rsidRDefault="00361FC6" w:rsidP="00361FC6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notifica del titolo esecutivo, la notifica dell’atto di precetto e il suo contenuto, con particolare riferimento ai requisiti previsti a pena di nullità</w:t>
      </w:r>
    </w:p>
    <w:p w14:paraId="07E91C7C" w14:textId="241AE37C" w:rsidR="00361FC6" w:rsidRPr="00422EB9" w:rsidRDefault="00361FC6" w:rsidP="00361FC6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L’espropriazione forzata come forma di soddisfazione del credito mediante la liquidazione in denaro dei beni del debitore</w:t>
      </w:r>
    </w:p>
    <w:p w14:paraId="3C94EE65" w14:textId="729A1F94" w:rsidR="00E67165" w:rsidRPr="00422EB9" w:rsidRDefault="00361FC6" w:rsidP="00E67165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fasi della procedura</w:t>
      </w:r>
    </w:p>
    <w:p w14:paraId="1402B20D" w14:textId="51294D8C" w:rsidR="00E67165" w:rsidRPr="00422EB9" w:rsidRDefault="008F76F5" w:rsidP="00E67165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Sospensione e riassunzione del processo esecutivo ed i suoi effetti</w:t>
      </w:r>
    </w:p>
    <w:p w14:paraId="3890CB14" w14:textId="0BED6B29" w:rsidR="008F76F5" w:rsidRPr="00422EB9" w:rsidRDefault="008F76F5" w:rsidP="00E67165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revoca, l’impugnazione della sospensione e ripresa dell’attività esecutiva.</w:t>
      </w:r>
    </w:p>
    <w:p w14:paraId="5E139A45" w14:textId="51D57EED" w:rsidR="00E206D7" w:rsidRPr="00422EB9" w:rsidRDefault="008F76F5" w:rsidP="008F76F5">
      <w:pPr>
        <w:jc w:val="center"/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****</w:t>
      </w:r>
    </w:p>
    <w:p w14:paraId="3B7EBBA2" w14:textId="3B802103" w:rsidR="00F315F6" w:rsidRPr="00422EB9" w:rsidRDefault="00F315F6" w:rsidP="00E206D7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caratteristiche del pignoramento immobiliare</w:t>
      </w:r>
    </w:p>
    <w:p w14:paraId="0E60991B" w14:textId="41C847FE" w:rsidR="00E206D7" w:rsidRPr="00422EB9" w:rsidRDefault="00E206D7" w:rsidP="00E206D7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La trascrizione dell’atto di pignoramento </w:t>
      </w:r>
    </w:p>
    <w:p w14:paraId="360F640E" w14:textId="3FCEDE22" w:rsidR="00E206D7" w:rsidRPr="00422EB9" w:rsidRDefault="00E206D7" w:rsidP="00E206D7">
      <w:pPr>
        <w:pStyle w:val="Paragrafoelenco"/>
        <w:numPr>
          <w:ilvl w:val="0"/>
          <w:numId w:val="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Il contenuto dell’atto di pignoramento </w:t>
      </w:r>
      <w:r w:rsidR="00E60C73" w:rsidRPr="00422EB9">
        <w:rPr>
          <w:rFonts w:ascii="Book Antiqua" w:hAnsi="Book Antiqua"/>
          <w:color w:val="000000" w:themeColor="text1"/>
        </w:rPr>
        <w:t>e la corretta individuazione del bene</w:t>
      </w:r>
    </w:p>
    <w:p w14:paraId="7E2C8DFF" w14:textId="42DFC309" w:rsidR="00E60C73" w:rsidRPr="00422EB9" w:rsidRDefault="00E60C73" w:rsidP="00E60C73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conseguenze di un’erronea individuazione dei beni pignorati e i limiti entro i quali è ammessa una rettifica del pignoramento</w:t>
      </w:r>
    </w:p>
    <w:p w14:paraId="1D4A1799" w14:textId="36757D5A" w:rsidR="00E60C73" w:rsidRPr="00422EB9" w:rsidRDefault="00E60C73" w:rsidP="00E60C73">
      <w:pPr>
        <w:pStyle w:val="Paragrafoelenco"/>
        <w:numPr>
          <w:ilvl w:val="0"/>
          <w:numId w:val="8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Il soggetto passivo dell’espropriazione immobiliare in caso di decesso del debitore </w:t>
      </w:r>
      <w:r w:rsidR="00AC3D97" w:rsidRPr="00422EB9">
        <w:rPr>
          <w:rFonts w:ascii="Book Antiqua" w:hAnsi="Book Antiqua"/>
          <w:color w:val="000000" w:themeColor="text1"/>
        </w:rPr>
        <w:t>anteriore al pignoramento, con riguardo alla situazione di soggetti chiamati all’eredità che non hanno ancora accettato la stessa</w:t>
      </w:r>
    </w:p>
    <w:p w14:paraId="5456C4A1" w14:textId="0DE9DC7C" w:rsidR="00AC3D97" w:rsidRPr="00422EB9" w:rsidRDefault="00AC3D97" w:rsidP="00E60C73">
      <w:pPr>
        <w:pStyle w:val="Paragrafoelenco"/>
        <w:numPr>
          <w:ilvl w:val="0"/>
          <w:numId w:val="8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documentazione ipo-catastale</w:t>
      </w:r>
    </w:p>
    <w:p w14:paraId="5FBC2A7B" w14:textId="02C5DBB0" w:rsidR="00AC3D97" w:rsidRPr="00422EB9" w:rsidRDefault="00AC3D97" w:rsidP="00AC3D97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termini e modalità di deposito, anche alla luce delle recenti modifiche introdotte in senso acceleratorio</w:t>
      </w:r>
    </w:p>
    <w:p w14:paraId="52BD9B24" w14:textId="0EF5B24D" w:rsidR="00AC3D97" w:rsidRPr="00422EB9" w:rsidRDefault="00AC3D97" w:rsidP="00AC3D97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nozione e certificazione notarile sostitutiva</w:t>
      </w:r>
    </w:p>
    <w:p w14:paraId="100812CB" w14:textId="7909FB94" w:rsidR="002A2089" w:rsidRPr="00422EB9" w:rsidRDefault="00AC3D97" w:rsidP="002A208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problematiche peculiari e possibilità/modalità di risoluzione delle stesse (es. immobili abusivi o beni assoggettati ad usi civici</w:t>
      </w:r>
      <w:r w:rsidR="00786903" w:rsidRPr="00422EB9">
        <w:rPr>
          <w:rFonts w:ascii="Book Antiqua" w:hAnsi="Book Antiqua"/>
          <w:color w:val="000000" w:themeColor="text1"/>
        </w:rPr>
        <w:t>)</w:t>
      </w:r>
    </w:p>
    <w:p w14:paraId="17344638" w14:textId="69DADBC0" w:rsidR="00225C83" w:rsidRPr="00422EB9" w:rsidRDefault="00225C83" w:rsidP="00225C83">
      <w:pPr>
        <w:rPr>
          <w:rFonts w:ascii="Book Antiqua" w:hAnsi="Book Antiqua"/>
          <w:color w:val="000000" w:themeColor="text1"/>
        </w:rPr>
      </w:pPr>
    </w:p>
    <w:p w14:paraId="386A24F3" w14:textId="77777777" w:rsidR="007321B2" w:rsidRPr="00422EB9" w:rsidRDefault="007321B2" w:rsidP="007321B2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 xml:space="preserve">III INCONTRO: </w:t>
      </w:r>
    </w:p>
    <w:p w14:paraId="17E2952B" w14:textId="77777777" w:rsidR="00422EB9" w:rsidRPr="00422EB9" w:rsidRDefault="00422EB9" w:rsidP="00422EB9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</w:rPr>
        <w:t>10.06.2026 ore 15:00-19:00, Aula “Primo Tondo” - Palazzo De Pietro</w:t>
      </w:r>
      <w:r w:rsidRPr="00422EB9">
        <w:rPr>
          <w:rFonts w:ascii="Book Antiqua" w:hAnsi="Book Antiqua"/>
          <w:b/>
          <w:bCs/>
          <w:color w:val="000000" w:themeColor="text1"/>
        </w:rPr>
        <w:t xml:space="preserve">, Avv. Andrea Pezzuto e Dott.ssa Annafrancesca Capone </w:t>
      </w:r>
    </w:p>
    <w:p w14:paraId="6A816231" w14:textId="77777777" w:rsidR="00422EB9" w:rsidRPr="00422EB9" w:rsidRDefault="00422EB9" w:rsidP="00422EB9">
      <w:p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PRINCIPI GENERALI DELLA CUSTODIA DEI BENI PIGNORATI</w:t>
      </w:r>
    </w:p>
    <w:p w14:paraId="00A0EE43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nomina del custode</w:t>
      </w:r>
    </w:p>
    <w:p w14:paraId="38E12881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lastRenderedPageBreak/>
        <w:t xml:space="preserve">L’evoluzione della figura del custode dall’assetto anteriore alle riforme del 2005 a quello attuale; le buone prassi degli uffici giudiziari seguite da successivi interventi del Legislatore </w:t>
      </w:r>
    </w:p>
    <w:p w14:paraId="30DB9E21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Ruolo, poteri e doveri del custode giudiziario. Responsabilità in capo alla figura del custode giudiziario.</w:t>
      </w:r>
    </w:p>
    <w:p w14:paraId="744E1EF1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Gli obblighi del custode/delegato in ordine alla normativa antiriciclaggio</w:t>
      </w:r>
    </w:p>
    <w:p w14:paraId="74060446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attività del custode giudiziario</w:t>
      </w:r>
    </w:p>
    <w:p w14:paraId="25DEF408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Primo sopralluogo con il CTU</w:t>
      </w:r>
    </w:p>
    <w:p w14:paraId="7544A175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Controlli e check list del custode giudiziario</w:t>
      </w:r>
    </w:p>
    <w:p w14:paraId="64F2FB70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L’attività di conservazione, amministrazione e gestione del compendio pignorato</w:t>
      </w:r>
    </w:p>
    <w:p w14:paraId="58A4F44B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gestione dinamica del compendio pignorato (la riscossione dei canoni di locazione, la stipula di contratti temporanei di locazione)</w:t>
      </w:r>
    </w:p>
    <w:p w14:paraId="4B3CBDB5" w14:textId="77777777" w:rsidR="00422EB9" w:rsidRPr="00422EB9" w:rsidRDefault="00422EB9" w:rsidP="00422EB9">
      <w:pPr>
        <w:pStyle w:val="Paragrafoelenco"/>
        <w:numPr>
          <w:ilvl w:val="0"/>
          <w:numId w:val="10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visita del bene pignorato da parte dei potenziali offerenti</w:t>
      </w:r>
    </w:p>
    <w:p w14:paraId="7446A822" w14:textId="77777777" w:rsidR="00422EB9" w:rsidRPr="00422EB9" w:rsidRDefault="00422EB9" w:rsidP="00422EB9">
      <w:pPr>
        <w:pStyle w:val="Paragrafoelenco"/>
        <w:numPr>
          <w:ilvl w:val="0"/>
          <w:numId w:val="10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legittimazione processuale</w:t>
      </w:r>
    </w:p>
    <w:p w14:paraId="55AD2952" w14:textId="77777777" w:rsidR="00422EB9" w:rsidRPr="00422EB9" w:rsidRDefault="00422EB9" w:rsidP="00422EB9">
      <w:pPr>
        <w:pStyle w:val="Paragrafoelenco"/>
        <w:numPr>
          <w:ilvl w:val="0"/>
          <w:numId w:val="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Evoluzione e natura dell’ordine di liberazione. Emissione e attuazione dell’ordine di liberazione.</w:t>
      </w:r>
    </w:p>
    <w:p w14:paraId="6F170A20" w14:textId="77777777" w:rsidR="00422EB9" w:rsidRPr="00422EB9" w:rsidRDefault="00422EB9" w:rsidP="00422EB9">
      <w:pPr>
        <w:pStyle w:val="Paragrafoelenco"/>
        <w:numPr>
          <w:ilvl w:val="0"/>
          <w:numId w:val="10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L’attività del custode propulsiva e successiva alla pronuncia dell’ordine di liberazione dell’immobile pignorato:</w:t>
      </w:r>
    </w:p>
    <w:p w14:paraId="61EC5792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segnalazione al giudice dell’esecuzione di condotte ostruzionistiche o dannose del debitore che vive nel bene</w:t>
      </w:r>
    </w:p>
    <w:p w14:paraId="42E8763F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valutazione della sussistenza di titoli che consentono ai terzi la legittima detenzione del compendio</w:t>
      </w:r>
    </w:p>
    <w:p w14:paraId="6B0D328A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L’attuazione dell’ordine di liberazione, eventualmente anche dopo la pronuncia del decreto di trasferimento</w:t>
      </w:r>
    </w:p>
    <w:p w14:paraId="7458C84C" w14:textId="77777777" w:rsidR="00422EB9" w:rsidRPr="00422EB9" w:rsidRDefault="00422EB9" w:rsidP="00422EB9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nuovo articolo 560 c.p.c.</w:t>
      </w:r>
    </w:p>
    <w:p w14:paraId="0D0908AB" w14:textId="77777777" w:rsidR="00422EB9" w:rsidRPr="00422EB9" w:rsidRDefault="00422EB9" w:rsidP="00422EB9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Responsabilità civile, penale e deontologica del Custode</w:t>
      </w:r>
    </w:p>
    <w:p w14:paraId="2E9E41BE" w14:textId="77777777" w:rsidR="00422EB9" w:rsidRPr="00422EB9" w:rsidRDefault="00422EB9" w:rsidP="00422EB9">
      <w:pPr>
        <w:pStyle w:val="Paragrafoelenco"/>
        <w:rPr>
          <w:rFonts w:ascii="Book Antiqua" w:hAnsi="Book Antiqua"/>
          <w:color w:val="000000" w:themeColor="text1"/>
        </w:rPr>
      </w:pPr>
    </w:p>
    <w:p w14:paraId="084CE3A7" w14:textId="77777777" w:rsidR="00422EB9" w:rsidRPr="00422EB9" w:rsidRDefault="00422EB9" w:rsidP="00422EB9">
      <w:pPr>
        <w:pStyle w:val="Paragrafoelenco"/>
        <w:rPr>
          <w:rFonts w:ascii="Book Antiqua" w:hAnsi="Book Antiqua"/>
          <w:color w:val="000000" w:themeColor="text1"/>
        </w:rPr>
      </w:pPr>
    </w:p>
    <w:p w14:paraId="08C6380A" w14:textId="77777777" w:rsidR="00422EB9" w:rsidRPr="00422EB9" w:rsidRDefault="00422EB9" w:rsidP="00422EB9">
      <w:pPr>
        <w:rPr>
          <w:rFonts w:ascii="Book Antiqua" w:hAnsi="Book Antiqua"/>
          <w:b/>
          <w:bCs/>
        </w:rPr>
      </w:pPr>
      <w:r w:rsidRPr="00422EB9">
        <w:rPr>
          <w:rFonts w:ascii="Book Antiqua" w:hAnsi="Book Antiqua"/>
          <w:i/>
          <w:color w:val="000000" w:themeColor="text1"/>
        </w:rPr>
        <w:t>Discussione sui temi trattati con i partecipanti al corso e presentazione di casi particolari.</w:t>
      </w:r>
    </w:p>
    <w:p w14:paraId="0DD881AD" w14:textId="77777777" w:rsidR="00422EB9" w:rsidRPr="00422EB9" w:rsidRDefault="00422EB9" w:rsidP="00422EB9">
      <w:pPr>
        <w:rPr>
          <w:rFonts w:ascii="Book Antiqua" w:hAnsi="Book Antiqua"/>
          <w:b/>
          <w:bCs/>
          <w:color w:val="000000" w:themeColor="text1"/>
        </w:rPr>
      </w:pPr>
    </w:p>
    <w:p w14:paraId="45F37861" w14:textId="6D784426" w:rsidR="00422EB9" w:rsidRPr="00422EB9" w:rsidRDefault="00422EB9" w:rsidP="00422EB9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 xml:space="preserve">IV INCONTRO: </w:t>
      </w:r>
    </w:p>
    <w:p w14:paraId="285DF35D" w14:textId="102A3AA5" w:rsidR="00422EB9" w:rsidRPr="00422EB9" w:rsidRDefault="00422EB9" w:rsidP="00422EB9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</w:rPr>
        <w:t>1</w:t>
      </w:r>
      <w:r w:rsidR="00F66A1A">
        <w:rPr>
          <w:rFonts w:ascii="Book Antiqua" w:hAnsi="Book Antiqua"/>
          <w:b/>
          <w:bCs/>
        </w:rPr>
        <w:t>8</w:t>
      </w:r>
      <w:r w:rsidRPr="00422EB9">
        <w:rPr>
          <w:rFonts w:ascii="Book Antiqua" w:hAnsi="Book Antiqua"/>
          <w:b/>
          <w:bCs/>
        </w:rPr>
        <w:t>.06.2026 ore 15:00-19:00, Aula “Primo Tondo” - Palazzo De Pietro</w:t>
      </w:r>
      <w:r w:rsidRPr="00422EB9">
        <w:rPr>
          <w:rFonts w:ascii="Book Antiqua" w:hAnsi="Book Antiqua"/>
          <w:b/>
          <w:bCs/>
          <w:color w:val="000000" w:themeColor="text1"/>
        </w:rPr>
        <w:t xml:space="preserve">, Prof. Avv. Giuseppe Positano e Avv. Carlo Congedo </w:t>
      </w:r>
    </w:p>
    <w:p w14:paraId="374DED42" w14:textId="77777777" w:rsidR="00422EB9" w:rsidRPr="00422EB9" w:rsidRDefault="00422EB9" w:rsidP="00422EB9">
      <w:pPr>
        <w:ind w:left="360"/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PIANO DI RIPARTO</w:t>
      </w:r>
    </w:p>
    <w:p w14:paraId="4393D8D7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Interazione tra l’esecuzione forzata e le procedure concorsuali e del Codice della crisi d’impresa e dell’insolvenza</w:t>
      </w:r>
    </w:p>
    <w:p w14:paraId="19F27E1C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piano di riparto</w:t>
      </w:r>
    </w:p>
    <w:p w14:paraId="06DCAF06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 principi che governano la graduazione dei crediti ai sensi degli artt.2740 e ss.c.c.</w:t>
      </w:r>
    </w:p>
    <w:p w14:paraId="5B332B28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 criteri distintivi essenziali tra crediti prededucibili, crediti muniti di cause legittime di prelazione e crediti chirografari</w:t>
      </w:r>
    </w:p>
    <w:p w14:paraId="550B7D4A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L’accantonamento dei crediti oggetto di accertamento</w:t>
      </w:r>
    </w:p>
    <w:p w14:paraId="34D25EF8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Il piano di riparto parziale </w:t>
      </w:r>
    </w:p>
    <w:p w14:paraId="059216D4" w14:textId="77777777" w:rsidR="00422EB9" w:rsidRPr="00422EB9" w:rsidRDefault="00422EB9" w:rsidP="00422EB9">
      <w:pPr>
        <w:pStyle w:val="Paragrafoelenco"/>
        <w:numPr>
          <w:ilvl w:val="0"/>
          <w:numId w:val="6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La distribuzione parziale: presupposti, condizioni, modalità </w:t>
      </w:r>
    </w:p>
    <w:p w14:paraId="50828879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rendiconto di gestione.</w:t>
      </w:r>
    </w:p>
    <w:p w14:paraId="3ABA7268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lastRenderedPageBreak/>
        <w:t>La sostituzione esecutiva o subcollocazione (art. 511 c.p.c.)</w:t>
      </w:r>
    </w:p>
    <w:p w14:paraId="1DC3E191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opposizioni al piano di riparto</w:t>
      </w:r>
    </w:p>
    <w:p w14:paraId="7EB12CB9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ricorso al giudice dell’esecuzione da parte del delegato per risolvere le difficoltà che si presentano nel corso degli adempimenti delegati</w:t>
      </w:r>
    </w:p>
    <w:p w14:paraId="6E0DA61F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ricorso al giudice dell’esecuzione da parte di altri soggetti</w:t>
      </w:r>
    </w:p>
    <w:p w14:paraId="1CAAE947" w14:textId="77777777" w:rsidR="00422EB9" w:rsidRPr="00422EB9" w:rsidRDefault="00422EB9" w:rsidP="00422EB9">
      <w:pPr>
        <w:pStyle w:val="Paragrafoelenco"/>
        <w:numPr>
          <w:ilvl w:val="0"/>
          <w:numId w:val="13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reclamo contro la decisione del giudice dell’esecuzione anche a seguito della riforma di cui al D.Lgs. n. 149 del 2022.</w:t>
      </w:r>
    </w:p>
    <w:p w14:paraId="63C3FF90" w14:textId="77777777" w:rsidR="00422EB9" w:rsidRPr="00422EB9" w:rsidRDefault="00422EB9" w:rsidP="00422EB9">
      <w:pPr>
        <w:pStyle w:val="Paragrafoelenco"/>
        <w:rPr>
          <w:rFonts w:ascii="Book Antiqua" w:hAnsi="Book Antiqua"/>
          <w:color w:val="000000" w:themeColor="text1"/>
        </w:rPr>
      </w:pPr>
    </w:p>
    <w:p w14:paraId="71302F0C" w14:textId="77777777" w:rsidR="00422EB9" w:rsidRPr="00422EB9" w:rsidRDefault="00422EB9" w:rsidP="00422EB9">
      <w:pPr>
        <w:pStyle w:val="Paragrafoelenco"/>
        <w:numPr>
          <w:ilvl w:val="0"/>
          <w:numId w:val="1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i/>
          <w:color w:val="000000" w:themeColor="text1"/>
        </w:rPr>
        <w:t>Discussione sui temi trattati con i partecipanti al corso e presentazione di casi particolari.</w:t>
      </w:r>
    </w:p>
    <w:p w14:paraId="36D25356" w14:textId="77777777" w:rsidR="00422EB9" w:rsidRPr="00422EB9" w:rsidRDefault="00422EB9" w:rsidP="00422EB9">
      <w:pPr>
        <w:rPr>
          <w:rFonts w:ascii="Book Antiqua" w:hAnsi="Book Antiqua"/>
          <w:b/>
          <w:bCs/>
          <w:color w:val="000000" w:themeColor="text1"/>
        </w:rPr>
      </w:pPr>
    </w:p>
    <w:p w14:paraId="6CCFB0F6" w14:textId="02D982B6" w:rsidR="00422EB9" w:rsidRPr="00422EB9" w:rsidRDefault="00422EB9" w:rsidP="007321B2">
      <w:pPr>
        <w:rPr>
          <w:rFonts w:ascii="Book Antiqua" w:hAnsi="Book Antiqua"/>
          <w:b/>
          <w:bCs/>
          <w:color w:val="000000" w:themeColor="text1"/>
        </w:rPr>
      </w:pPr>
      <w:r w:rsidRPr="00422EB9">
        <w:rPr>
          <w:rFonts w:ascii="Book Antiqua" w:hAnsi="Book Antiqua"/>
          <w:b/>
          <w:bCs/>
          <w:color w:val="000000" w:themeColor="text1"/>
        </w:rPr>
        <w:t>V INCONTRO:</w:t>
      </w:r>
    </w:p>
    <w:p w14:paraId="4B769A33" w14:textId="5832756D" w:rsidR="00225C83" w:rsidRPr="00422EB9" w:rsidRDefault="00422EB9" w:rsidP="003639FF">
      <w:pPr>
        <w:pStyle w:val="Paragrafoelenco"/>
        <w:ind w:left="0"/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b/>
          <w:bCs/>
        </w:rPr>
        <w:t>26</w:t>
      </w:r>
      <w:r w:rsidR="003639FF" w:rsidRPr="00422EB9">
        <w:rPr>
          <w:rFonts w:ascii="Book Antiqua" w:hAnsi="Book Antiqua"/>
          <w:b/>
          <w:bCs/>
        </w:rPr>
        <w:t>.06.2026 ore 15:00-19:00, Aula “Primo Tondo” - Palazzo De Pietro-</w:t>
      </w:r>
      <w:r w:rsidR="007321B2" w:rsidRPr="00422EB9">
        <w:rPr>
          <w:rFonts w:ascii="Book Antiqua" w:hAnsi="Book Antiqua"/>
          <w:b/>
          <w:bCs/>
          <w:color w:val="000000" w:themeColor="text1"/>
        </w:rPr>
        <w:t xml:space="preserve"> </w:t>
      </w:r>
      <w:r w:rsidR="00FE12C2" w:rsidRPr="00422EB9">
        <w:rPr>
          <w:rFonts w:ascii="Book Antiqua" w:hAnsi="Book Antiqua"/>
          <w:b/>
          <w:bCs/>
          <w:color w:val="000000" w:themeColor="text1"/>
        </w:rPr>
        <w:t xml:space="preserve">Prof.ssa </w:t>
      </w:r>
      <w:r w:rsidR="004C0BF8" w:rsidRPr="00422EB9">
        <w:rPr>
          <w:rFonts w:ascii="Book Antiqua" w:hAnsi="Book Antiqua"/>
          <w:b/>
          <w:bCs/>
          <w:color w:val="000000" w:themeColor="text1"/>
        </w:rPr>
        <w:t xml:space="preserve">Avv. </w:t>
      </w:r>
      <w:r w:rsidR="00FE12C2" w:rsidRPr="00422EB9">
        <w:rPr>
          <w:rFonts w:ascii="Book Antiqua" w:hAnsi="Book Antiqua"/>
          <w:b/>
          <w:bCs/>
          <w:color w:val="000000" w:themeColor="text1"/>
        </w:rPr>
        <w:t xml:space="preserve">Carmen Perago e </w:t>
      </w:r>
      <w:r w:rsidR="007321B2" w:rsidRPr="00422EB9">
        <w:rPr>
          <w:rFonts w:ascii="Book Antiqua" w:hAnsi="Book Antiqua"/>
          <w:b/>
          <w:bCs/>
          <w:color w:val="000000" w:themeColor="text1"/>
        </w:rPr>
        <w:t xml:space="preserve">Avv. Maria Stella </w:t>
      </w:r>
      <w:r w:rsidR="00881B0E" w:rsidRPr="00422EB9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200677C9" w14:textId="77777777" w:rsidR="00225C83" w:rsidRPr="00422EB9" w:rsidRDefault="00225C83" w:rsidP="00225C83">
      <w:pPr>
        <w:pStyle w:val="Paragrafoelenco"/>
        <w:rPr>
          <w:rFonts w:ascii="Book Antiqua" w:hAnsi="Book Antiqua"/>
          <w:color w:val="000000" w:themeColor="text1"/>
        </w:rPr>
      </w:pPr>
    </w:p>
    <w:p w14:paraId="0B016F20" w14:textId="3386F0FE" w:rsidR="008F76F5" w:rsidRPr="00422EB9" w:rsidRDefault="008F76F5" w:rsidP="00ED2A73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Decreto di trasferimento e suo contenuto necessario ed eventuale</w:t>
      </w:r>
      <w:r w:rsidR="007321B2" w:rsidRPr="00422EB9">
        <w:rPr>
          <w:rFonts w:ascii="Book Antiqua" w:hAnsi="Book Antiqua"/>
          <w:color w:val="000000" w:themeColor="text1"/>
        </w:rPr>
        <w:t>. Correzione di  errori formali e materiali.</w:t>
      </w:r>
    </w:p>
    <w:p w14:paraId="4FC58AE6" w14:textId="1F647222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Tempi di emissione del Decreto di Trasferimento</w:t>
      </w:r>
    </w:p>
    <w:p w14:paraId="5110D014" w14:textId="77777777" w:rsidR="008F76F5" w:rsidRPr="00422EB9" w:rsidRDefault="008F76F5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 problemi della trascrizione delle domande giudiziali anteriori al pignoramento e dei provvedimenti cautelari sul bene</w:t>
      </w:r>
    </w:p>
    <w:p w14:paraId="6B7B42F0" w14:textId="5F9DB744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 gravami non cancellabili</w:t>
      </w:r>
    </w:p>
    <w:p w14:paraId="0D0B649D" w14:textId="3046BD7E" w:rsidR="008F76F5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L’effetto traslativo e l’individuazione del momento in cui si realizza. Registrazione e trascrizione del DT</w:t>
      </w:r>
    </w:p>
    <w:p w14:paraId="3DFCD368" w14:textId="2C1443EC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Il regime fiscale del trasferimento del bene</w:t>
      </w:r>
    </w:p>
    <w:p w14:paraId="482AC6AA" w14:textId="693D2A39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L’IVA e l’imposta di registro sulla vendita: alternatività e casi specifici</w:t>
      </w:r>
    </w:p>
    <w:p w14:paraId="0E671D24" w14:textId="47963888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agevolazioni fiscali per gli acquirenti: l’agevolazione prima casa</w:t>
      </w:r>
    </w:p>
    <w:p w14:paraId="6903872E" w14:textId="6B56F7E0" w:rsidR="007321B2" w:rsidRPr="00422EB9" w:rsidRDefault="007321B2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Le imposte per trascrizione e cancellazioni formalità</w:t>
      </w:r>
    </w:p>
    <w:p w14:paraId="027031AF" w14:textId="632EB3DD" w:rsidR="00881B0E" w:rsidRPr="00422EB9" w:rsidRDefault="00881B0E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>La normativa antiriciclaggio</w:t>
      </w:r>
    </w:p>
    <w:p w14:paraId="091F8A3E" w14:textId="414F768B" w:rsidR="008F76F5" w:rsidRPr="00422EB9" w:rsidRDefault="008F76F5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L’opposizione contro il </w:t>
      </w:r>
      <w:r w:rsidR="007321B2" w:rsidRPr="00422EB9">
        <w:rPr>
          <w:rFonts w:ascii="Book Antiqua" w:hAnsi="Book Antiqua"/>
          <w:color w:val="000000" w:themeColor="text1"/>
        </w:rPr>
        <w:t>Decreto di trasferimento</w:t>
      </w:r>
    </w:p>
    <w:p w14:paraId="1A0730A3" w14:textId="77777777" w:rsidR="008F76F5" w:rsidRPr="00422EB9" w:rsidRDefault="008F76F5" w:rsidP="008F76F5">
      <w:pPr>
        <w:pStyle w:val="Paragrafoelenco"/>
        <w:numPr>
          <w:ilvl w:val="0"/>
          <w:numId w:val="11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color w:val="000000" w:themeColor="text1"/>
        </w:rPr>
        <w:t xml:space="preserve">Le modalità di esecuzione </w:t>
      </w:r>
    </w:p>
    <w:p w14:paraId="20E194F7" w14:textId="77777777" w:rsidR="008F76F5" w:rsidRPr="00422EB9" w:rsidRDefault="008F76F5" w:rsidP="008F76F5">
      <w:pPr>
        <w:pStyle w:val="Paragrafoelenco"/>
        <w:rPr>
          <w:rFonts w:ascii="Book Antiqua" w:hAnsi="Book Antiqua"/>
          <w:color w:val="000000" w:themeColor="text1"/>
        </w:rPr>
      </w:pPr>
    </w:p>
    <w:p w14:paraId="091C809B" w14:textId="4352C3C7" w:rsidR="008F76F5" w:rsidRPr="00422EB9" w:rsidRDefault="007321B2" w:rsidP="008F76F5">
      <w:pPr>
        <w:pStyle w:val="Paragrafoelenco"/>
        <w:numPr>
          <w:ilvl w:val="0"/>
          <w:numId w:val="19"/>
        </w:numPr>
        <w:rPr>
          <w:rFonts w:ascii="Book Antiqua" w:hAnsi="Book Antiqua"/>
          <w:color w:val="000000" w:themeColor="text1"/>
        </w:rPr>
      </w:pPr>
      <w:r w:rsidRPr="00422EB9">
        <w:rPr>
          <w:rFonts w:ascii="Book Antiqua" w:hAnsi="Book Antiqua"/>
          <w:i/>
          <w:color w:val="000000" w:themeColor="text1"/>
        </w:rPr>
        <w:t>Laboratorio su predisposizione e redazione di un Decreto di trasferimento</w:t>
      </w:r>
    </w:p>
    <w:p w14:paraId="7E1D4BB5" w14:textId="77777777" w:rsidR="002A2089" w:rsidRPr="00CA4B06" w:rsidRDefault="002A2089" w:rsidP="002A2089">
      <w:pPr>
        <w:pStyle w:val="Paragrafoelenco"/>
        <w:ind w:left="1080"/>
        <w:rPr>
          <w:rFonts w:ascii="Book Antiqua" w:hAnsi="Book Antiqua"/>
          <w:color w:val="000000" w:themeColor="text1"/>
        </w:rPr>
      </w:pPr>
    </w:p>
    <w:p w14:paraId="5719D894" w14:textId="455CEBFA" w:rsidR="00ED2A73" w:rsidRPr="00CA4B06" w:rsidRDefault="00ED2A73" w:rsidP="00ED2A73">
      <w:pPr>
        <w:rPr>
          <w:rFonts w:ascii="Book Antiqua" w:hAnsi="Book Antiqua"/>
          <w:b/>
          <w:bCs/>
          <w:color w:val="000000" w:themeColor="text1"/>
        </w:rPr>
      </w:pPr>
      <w:r w:rsidRPr="00CA4B06">
        <w:rPr>
          <w:rFonts w:ascii="Book Antiqua" w:hAnsi="Book Antiqua"/>
          <w:b/>
          <w:bCs/>
          <w:color w:val="000000" w:themeColor="text1"/>
        </w:rPr>
        <w:t xml:space="preserve"> </w:t>
      </w:r>
    </w:p>
    <w:p w14:paraId="15D049F3" w14:textId="77777777" w:rsidR="00422EB9" w:rsidRDefault="00422EB9" w:rsidP="00ED2A73">
      <w:pPr>
        <w:rPr>
          <w:rFonts w:ascii="Book Antiqua" w:hAnsi="Book Antiqua"/>
          <w:b/>
          <w:bCs/>
        </w:rPr>
      </w:pPr>
    </w:p>
    <w:p w14:paraId="72B1AB5E" w14:textId="77777777" w:rsidR="00422EB9" w:rsidRDefault="00422EB9" w:rsidP="00ED2A73">
      <w:pPr>
        <w:rPr>
          <w:rFonts w:ascii="Book Antiqua" w:hAnsi="Book Antiqua"/>
          <w:b/>
          <w:bCs/>
        </w:rPr>
      </w:pPr>
    </w:p>
    <w:p w14:paraId="250828EA" w14:textId="77777777" w:rsidR="00422EB9" w:rsidRDefault="00422EB9" w:rsidP="00ED2A73">
      <w:pPr>
        <w:rPr>
          <w:rFonts w:ascii="Book Antiqua" w:hAnsi="Book Antiqua"/>
          <w:b/>
          <w:bCs/>
        </w:rPr>
      </w:pPr>
    </w:p>
    <w:p w14:paraId="451664E9" w14:textId="77777777" w:rsidR="00422EB9" w:rsidRDefault="00422EB9" w:rsidP="00ED2A73">
      <w:pPr>
        <w:rPr>
          <w:rFonts w:ascii="Book Antiqua" w:hAnsi="Book Antiqua"/>
          <w:b/>
          <w:bCs/>
        </w:rPr>
      </w:pPr>
    </w:p>
    <w:sectPr w:rsidR="00422EB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E0A3" w14:textId="77777777" w:rsidR="003B78FD" w:rsidRDefault="003B78FD" w:rsidP="00874237">
      <w:pPr>
        <w:spacing w:after="0" w:line="240" w:lineRule="auto"/>
      </w:pPr>
      <w:r>
        <w:separator/>
      </w:r>
    </w:p>
  </w:endnote>
  <w:endnote w:type="continuationSeparator" w:id="0">
    <w:p w14:paraId="5963C97D" w14:textId="77777777" w:rsidR="003B78FD" w:rsidRDefault="003B78FD" w:rsidP="0087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1640"/>
      <w:docPartObj>
        <w:docPartGallery w:val="Page Numbers (Bottom of Page)"/>
        <w:docPartUnique/>
      </w:docPartObj>
    </w:sdtPr>
    <w:sdtContent>
      <w:p w14:paraId="415FB144" w14:textId="674C9B59" w:rsidR="00874237" w:rsidRDefault="008742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3E2">
          <w:rPr>
            <w:noProof/>
          </w:rPr>
          <w:t>3</w:t>
        </w:r>
        <w:r>
          <w:fldChar w:fldCharType="end"/>
        </w:r>
      </w:p>
    </w:sdtContent>
  </w:sdt>
  <w:p w14:paraId="6AC0B7E2" w14:textId="77777777" w:rsidR="00874237" w:rsidRDefault="008742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FA57" w14:textId="77777777" w:rsidR="003B78FD" w:rsidRDefault="003B78FD" w:rsidP="00874237">
      <w:pPr>
        <w:spacing w:after="0" w:line="240" w:lineRule="auto"/>
      </w:pPr>
      <w:r>
        <w:separator/>
      </w:r>
    </w:p>
  </w:footnote>
  <w:footnote w:type="continuationSeparator" w:id="0">
    <w:p w14:paraId="2200F903" w14:textId="77777777" w:rsidR="003B78FD" w:rsidRDefault="003B78FD" w:rsidP="0087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DA2"/>
    <w:multiLevelType w:val="hybridMultilevel"/>
    <w:tmpl w:val="40EE4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C99"/>
    <w:multiLevelType w:val="hybridMultilevel"/>
    <w:tmpl w:val="870E914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3635E"/>
    <w:multiLevelType w:val="hybridMultilevel"/>
    <w:tmpl w:val="E5DA9116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D0042F"/>
    <w:multiLevelType w:val="hybridMultilevel"/>
    <w:tmpl w:val="CEBEDD26"/>
    <w:lvl w:ilvl="0" w:tplc="DA4E5A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B4C00"/>
    <w:multiLevelType w:val="hybridMultilevel"/>
    <w:tmpl w:val="ACB04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0059"/>
    <w:multiLevelType w:val="hybridMultilevel"/>
    <w:tmpl w:val="B5FC09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061D5"/>
    <w:multiLevelType w:val="hybridMultilevel"/>
    <w:tmpl w:val="C1AA15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727B2"/>
    <w:multiLevelType w:val="hybridMultilevel"/>
    <w:tmpl w:val="9252F972"/>
    <w:lvl w:ilvl="0" w:tplc="DA4E5A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3A527E"/>
    <w:multiLevelType w:val="hybridMultilevel"/>
    <w:tmpl w:val="F5288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222F8"/>
    <w:multiLevelType w:val="hybridMultilevel"/>
    <w:tmpl w:val="68108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06098"/>
    <w:multiLevelType w:val="hybridMultilevel"/>
    <w:tmpl w:val="1BE44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E0666"/>
    <w:multiLevelType w:val="hybridMultilevel"/>
    <w:tmpl w:val="3A5C55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A5DF2"/>
    <w:multiLevelType w:val="hybridMultilevel"/>
    <w:tmpl w:val="AC002D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78E7"/>
    <w:multiLevelType w:val="hybridMultilevel"/>
    <w:tmpl w:val="FE4665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45E9"/>
    <w:multiLevelType w:val="hybridMultilevel"/>
    <w:tmpl w:val="2570867E"/>
    <w:lvl w:ilvl="0" w:tplc="139A3C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7F7CA9"/>
    <w:multiLevelType w:val="hybridMultilevel"/>
    <w:tmpl w:val="54F24B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B1E89"/>
    <w:multiLevelType w:val="hybridMultilevel"/>
    <w:tmpl w:val="D9BCC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C2B35"/>
    <w:multiLevelType w:val="hybridMultilevel"/>
    <w:tmpl w:val="7690CD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95F94"/>
    <w:multiLevelType w:val="hybridMultilevel"/>
    <w:tmpl w:val="02FA7074"/>
    <w:lvl w:ilvl="0" w:tplc="E4EE0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25563"/>
    <w:multiLevelType w:val="hybridMultilevel"/>
    <w:tmpl w:val="EEF02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190621">
    <w:abstractNumId w:val="19"/>
  </w:num>
  <w:num w:numId="2" w16cid:durableId="1815174819">
    <w:abstractNumId w:val="5"/>
  </w:num>
  <w:num w:numId="3" w16cid:durableId="1159540997">
    <w:abstractNumId w:val="14"/>
  </w:num>
  <w:num w:numId="4" w16cid:durableId="1396929505">
    <w:abstractNumId w:val="18"/>
  </w:num>
  <w:num w:numId="5" w16cid:durableId="605424148">
    <w:abstractNumId w:val="3"/>
  </w:num>
  <w:num w:numId="6" w16cid:durableId="167983318">
    <w:abstractNumId w:val="7"/>
  </w:num>
  <w:num w:numId="7" w16cid:durableId="1755662294">
    <w:abstractNumId w:val="16"/>
  </w:num>
  <w:num w:numId="8" w16cid:durableId="1193419374">
    <w:abstractNumId w:val="8"/>
  </w:num>
  <w:num w:numId="9" w16cid:durableId="1615936806">
    <w:abstractNumId w:val="0"/>
  </w:num>
  <w:num w:numId="10" w16cid:durableId="1399129739">
    <w:abstractNumId w:val="4"/>
  </w:num>
  <w:num w:numId="11" w16cid:durableId="349916716">
    <w:abstractNumId w:val="9"/>
  </w:num>
  <w:num w:numId="12" w16cid:durableId="142086470">
    <w:abstractNumId w:val="1"/>
  </w:num>
  <w:num w:numId="13" w16cid:durableId="589390201">
    <w:abstractNumId w:val="10"/>
  </w:num>
  <w:num w:numId="14" w16cid:durableId="1149058749">
    <w:abstractNumId w:val="17"/>
  </w:num>
  <w:num w:numId="15" w16cid:durableId="598565579">
    <w:abstractNumId w:val="13"/>
  </w:num>
  <w:num w:numId="16" w16cid:durableId="1137844901">
    <w:abstractNumId w:val="12"/>
  </w:num>
  <w:num w:numId="17" w16cid:durableId="1993212960">
    <w:abstractNumId w:val="15"/>
  </w:num>
  <w:num w:numId="18" w16cid:durableId="171649647">
    <w:abstractNumId w:val="11"/>
  </w:num>
  <w:num w:numId="19" w16cid:durableId="598098699">
    <w:abstractNumId w:val="2"/>
  </w:num>
  <w:num w:numId="20" w16cid:durableId="1412266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9E0"/>
    <w:rsid w:val="0002756D"/>
    <w:rsid w:val="00034FD6"/>
    <w:rsid w:val="0006523A"/>
    <w:rsid w:val="000B2AB4"/>
    <w:rsid w:val="00161516"/>
    <w:rsid w:val="0016393E"/>
    <w:rsid w:val="001D14F4"/>
    <w:rsid w:val="00225C83"/>
    <w:rsid w:val="002A2089"/>
    <w:rsid w:val="002F6D82"/>
    <w:rsid w:val="00315518"/>
    <w:rsid w:val="00332E39"/>
    <w:rsid w:val="00335C4A"/>
    <w:rsid w:val="003449B0"/>
    <w:rsid w:val="00361FC6"/>
    <w:rsid w:val="003639FF"/>
    <w:rsid w:val="00392530"/>
    <w:rsid w:val="00395E1A"/>
    <w:rsid w:val="003A7B0E"/>
    <w:rsid w:val="003A7BC9"/>
    <w:rsid w:val="003B78FD"/>
    <w:rsid w:val="003C4B73"/>
    <w:rsid w:val="0041100A"/>
    <w:rsid w:val="00422EB9"/>
    <w:rsid w:val="0042362A"/>
    <w:rsid w:val="004C0BF8"/>
    <w:rsid w:val="004D0214"/>
    <w:rsid w:val="004F543B"/>
    <w:rsid w:val="00501AB7"/>
    <w:rsid w:val="0050427B"/>
    <w:rsid w:val="005120D7"/>
    <w:rsid w:val="0055793B"/>
    <w:rsid w:val="0058697D"/>
    <w:rsid w:val="005B01B2"/>
    <w:rsid w:val="005F15A8"/>
    <w:rsid w:val="00656071"/>
    <w:rsid w:val="00671F45"/>
    <w:rsid w:val="0071364D"/>
    <w:rsid w:val="007321B2"/>
    <w:rsid w:val="00742CE1"/>
    <w:rsid w:val="00753B67"/>
    <w:rsid w:val="00786903"/>
    <w:rsid w:val="007B341E"/>
    <w:rsid w:val="007D27CB"/>
    <w:rsid w:val="007E0CDF"/>
    <w:rsid w:val="007F5A3A"/>
    <w:rsid w:val="00810DD9"/>
    <w:rsid w:val="00811E96"/>
    <w:rsid w:val="00853285"/>
    <w:rsid w:val="00857136"/>
    <w:rsid w:val="00874237"/>
    <w:rsid w:val="00877CF9"/>
    <w:rsid w:val="00881B0E"/>
    <w:rsid w:val="008B721D"/>
    <w:rsid w:val="008F76F5"/>
    <w:rsid w:val="00907AF5"/>
    <w:rsid w:val="0091648E"/>
    <w:rsid w:val="00951A3D"/>
    <w:rsid w:val="00952911"/>
    <w:rsid w:val="0096315E"/>
    <w:rsid w:val="00993573"/>
    <w:rsid w:val="00A129E0"/>
    <w:rsid w:val="00A14295"/>
    <w:rsid w:val="00A210C0"/>
    <w:rsid w:val="00A65535"/>
    <w:rsid w:val="00A91020"/>
    <w:rsid w:val="00AA072A"/>
    <w:rsid w:val="00AC3D97"/>
    <w:rsid w:val="00B31BE8"/>
    <w:rsid w:val="00B45513"/>
    <w:rsid w:val="00B4669E"/>
    <w:rsid w:val="00B723E2"/>
    <w:rsid w:val="00BE485A"/>
    <w:rsid w:val="00C362FB"/>
    <w:rsid w:val="00C4311D"/>
    <w:rsid w:val="00C54248"/>
    <w:rsid w:val="00C733C7"/>
    <w:rsid w:val="00CA4B06"/>
    <w:rsid w:val="00D41994"/>
    <w:rsid w:val="00D866B5"/>
    <w:rsid w:val="00D94491"/>
    <w:rsid w:val="00DA42F7"/>
    <w:rsid w:val="00DF2D66"/>
    <w:rsid w:val="00E206D7"/>
    <w:rsid w:val="00E367E3"/>
    <w:rsid w:val="00E60C73"/>
    <w:rsid w:val="00E67165"/>
    <w:rsid w:val="00EC3EC2"/>
    <w:rsid w:val="00ED1E8C"/>
    <w:rsid w:val="00ED2A73"/>
    <w:rsid w:val="00EE11CA"/>
    <w:rsid w:val="00EF7BDD"/>
    <w:rsid w:val="00F315F6"/>
    <w:rsid w:val="00F44E67"/>
    <w:rsid w:val="00F66A1A"/>
    <w:rsid w:val="00FB7EA3"/>
    <w:rsid w:val="00FD2EAC"/>
    <w:rsid w:val="00FE12C2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E067"/>
  <w15:docId w15:val="{6CD399AF-26F1-4F2B-99E1-F7665889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5A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237"/>
  </w:style>
  <w:style w:type="paragraph" w:styleId="Pidipagina">
    <w:name w:val="footer"/>
    <w:basedOn w:val="Normale"/>
    <w:link w:val="PidipaginaCarattere"/>
    <w:uiPriority w:val="99"/>
    <w:unhideWhenUsed/>
    <w:rsid w:val="00874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F790-DF11-4785-B73F-0F8BA2FB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Utente</cp:lastModifiedBy>
  <cp:revision>4</cp:revision>
  <cp:lastPrinted>2026-04-17T16:14:00Z</cp:lastPrinted>
  <dcterms:created xsi:type="dcterms:W3CDTF">2026-05-12T15:30:00Z</dcterms:created>
  <dcterms:modified xsi:type="dcterms:W3CDTF">2026-05-13T11:50:00Z</dcterms:modified>
</cp:coreProperties>
</file>